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145F2F58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10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D8F35F9" w14:textId="509143FE" w:rsidR="001150EA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1.3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</w:t>
            </w:r>
            <w:r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temporaneo e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tazioni di posta per le persone senza dimora</w:t>
            </w:r>
          </w:p>
          <w:p w14:paraId="6704FEC1" w14:textId="4010AD75" w:rsidR="008568DB" w:rsidRPr="00B41C3F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Sub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1.3.</w:t>
            </w:r>
            <w:r w:rsidR="00C61CC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C61CC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61CC4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C61CC4" w:rsidRPr="00C61CC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Stazioni di posta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84FE2" w14:textId="26463F46" w:rsidR="00597A4D" w:rsidRPr="00B41C3F" w:rsidRDefault="001150EA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10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3 - </w:t>
            </w:r>
            <w:r w:rsidR="008568DB"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 First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(innanzitutto la casa) e stazioni di posta</w:t>
            </w:r>
          </w:p>
          <w:p w14:paraId="797151AC" w14:textId="7F84944D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2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9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CB1FA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C61CC4">
        <w:trPr>
          <w:trHeight w:val="1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68788FCE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</w:t>
            </w:r>
            <w:r w:rsidR="00C61CC4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 presa in carico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A203" w14:textId="77777777" w:rsidR="00D64740" w:rsidRDefault="00065E7B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67C6B25" w14:textId="32D6311F" w:rsidR="00001E8D" w:rsidRPr="00E02355" w:rsidRDefault="00E068CA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compilazione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 </w:t>
            </w:r>
            <w:r w:rsidRPr="00D64C6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 w:rsidR="00C61CC4" w:rsidRP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presa in carico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C61CC4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104C" w14:textId="01B70E50" w:rsidR="00D64740" w:rsidRPr="002313F4" w:rsidRDefault="00D64740" w:rsidP="00C61CC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="00C61CC4" w:rsidRPr="00C61CC4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l’operatore di riferimento che si è occupato della presa in carico del soggetto beneficiario?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33419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B1688F9" w14:textId="6EDEFC1F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sottoscrizion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contenut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nell’</w:t>
            </w:r>
            <w:r w:rsidR="00C61CC4">
              <w:t xml:space="preserve"> </w:t>
            </w:r>
            <w:r w:rsidR="00C61CC4" w:rsidRP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presa in carico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F5AC4" w:rsidRPr="00B03310" w14:paraId="6EB59AFD" w14:textId="77777777" w:rsidTr="003E72E8">
        <w:trPr>
          <w:trHeight w:val="1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3B988" w14:textId="72FA98BC" w:rsidR="002F5AC4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186E0" w14:textId="768118CD" w:rsidR="002F5AC4" w:rsidRDefault="002F5AC4" w:rsidP="00C61CC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C61CC4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in tutti i suoi elementi secondo la natura del servizio erogato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00B80" w14:textId="77777777" w:rsidR="002F5AC4" w:rsidRPr="00B03310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61C51" w14:textId="77777777" w:rsidR="002F5AC4" w:rsidRPr="00B03310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94211" w14:textId="77777777" w:rsidR="002F5AC4" w:rsidRPr="00B03310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85C91" w14:textId="77777777" w:rsidR="002F5AC4" w:rsidRPr="00A66138" w:rsidRDefault="002F5AC4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41112" w14:textId="77777777" w:rsidR="002F5AC4" w:rsidRPr="001969E1" w:rsidRDefault="002F5AC4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777F4" w14:textId="77777777" w:rsidR="002F5AC4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66FDD0B" w14:textId="53019166" w:rsidR="002F5AC4" w:rsidRPr="00D64740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 dell’</w:t>
            </w:r>
            <w:r w:rsidRP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presa in carico</w:t>
            </w:r>
          </w:p>
        </w:tc>
        <w:tc>
          <w:tcPr>
            <w:tcW w:w="161" w:type="dxa"/>
            <w:vAlign w:val="center"/>
          </w:tcPr>
          <w:p w14:paraId="1C7FD25A" w14:textId="77777777" w:rsidR="002F5AC4" w:rsidRPr="00B03310" w:rsidRDefault="002F5AC4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3E72E8">
        <w:trPr>
          <w:trHeight w:val="2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433ADAD7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</w:t>
            </w:r>
            <w:r w:rsidR="002F5AC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7D0AC4C2" w:rsidR="00D64740" w:rsidRDefault="002F5AC4" w:rsidP="002F5AC4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Sono stati </w:t>
            </w:r>
            <w:r w:rsidRPr="002F5AC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riportati i dati logistici della stazione di posta temporanea </w:t>
            </w:r>
            <w:r w:rsidR="003E72E8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(ove presente) </w:t>
            </w:r>
            <w:r w:rsidRPr="002F5AC4">
              <w:rPr>
                <w:rFonts w:ascii="Garamond" w:hAnsi="Garamond" w:cs="Calibri"/>
                <w:sz w:val="24"/>
                <w:szCs w:val="24"/>
                <w:lang w:eastAsia="it-IT"/>
              </w:rPr>
              <w:t>che ha erogato i servizi</w:t>
            </w:r>
            <w:r w:rsidR="003E72E8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</w:t>
            </w:r>
            <w:r w:rsidRPr="002F5AC4">
              <w:rPr>
                <w:rFonts w:ascii="Garamond" w:hAnsi="Garamond" w:cs="Calibri"/>
                <w:sz w:val="24"/>
                <w:szCs w:val="24"/>
                <w:lang w:eastAsia="it-IT"/>
              </w:rPr>
              <w:t>quelli riferiti all’immobile definitivo</w:t>
            </w:r>
            <w:r w:rsidR="003E72E8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come specificato nella </w:t>
            </w:r>
            <w:r w:rsidR="003E72E8">
              <w:rPr>
                <w:rFonts w:ascii="Garamond" w:eastAsia="Calibri" w:hAnsi="Garamond" w:cs="Times New Roman"/>
                <w:sz w:val="24"/>
                <w:szCs w:val="24"/>
              </w:rPr>
              <w:t>nota UdM PNRR-MLPS n. 1256 del 3 giugno 2024?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8E70C" w14:textId="77777777" w:rsidR="002F5AC4" w:rsidRPr="002F5AC4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7CE9E56" w14:textId="0AFAB055" w:rsidR="00D64740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completa compilazione dell’Attestazione di presa in carico</w:t>
            </w:r>
            <w:r w:rsidR="00C915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AA81919" w14:textId="0065B358" w:rsidR="003E72E8" w:rsidRPr="00E02355" w:rsidRDefault="003E72E8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nota UdM PNRR-MLPS n. 1256 del 3 giugno 2024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EED254A" w14:textId="77777777" w:rsidTr="00C91513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F3B5" w14:textId="24E7EA79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6447E" w14:textId="2DBDFBE3" w:rsidR="00D64740" w:rsidRDefault="004F0793" w:rsidP="001755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beneficiario ai fini del raggiungimento del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M5C2-10, in scadenza al Q1 2026, 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usufruito di una </w:t>
            </w:r>
            <w:r w:rsidR="003E72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attività </w:t>
            </w:r>
            <w:r w:rsidR="002F5AC4" w:rsidRPr="003E72E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core</w:t>
            </w:r>
            <w:r w:rsidR="003E72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39144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/o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avuto accesso ad almeno un altro servizio offerto dalla stazione di posta tra quelli programmati nella scheda progetto del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sub-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investimento M5C2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I1.3.2 - Stazioni di 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osta tra attività </w:t>
            </w:r>
            <w:r w:rsidR="002F5AC4" w:rsidRPr="00C9151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core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attività accessorie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522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FE8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B891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7F1FA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F8DD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10B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B6BF150" w14:textId="30CEE5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CC0C12" w14:textId="1E2385F2" w:rsidR="00D64740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3800D0" w14:textId="4BEE6AD3" w:rsidR="008E6666" w:rsidRDefault="008E6666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14A3FE1D" w14:textId="19276641" w:rsidR="00C91513" w:rsidRPr="00E02355" w:rsidRDefault="00C91513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L’elenco delle attività </w:t>
            </w:r>
            <w:r w:rsidRPr="00C9151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core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accessorie;</w:t>
            </w:r>
          </w:p>
          <w:p w14:paraId="30C9DF46" w14:textId="5B3523D7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proofErr w:type="spellStart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4B87419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E72E8" w:rsidRPr="00B03310" w14:paraId="59E1A3C6" w14:textId="77777777" w:rsidTr="00C91513">
        <w:trPr>
          <w:trHeight w:val="27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2A9CE" w14:textId="0109D437" w:rsidR="003E72E8" w:rsidRDefault="0074224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94F5B" w14:textId="5718B41F" w:rsidR="003E72E8" w:rsidRPr="004F0793" w:rsidRDefault="00742246" w:rsidP="002F5AC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beneficiario rientra nella categoria di “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person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 condizioni di grave deprivazione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”,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secondo quanto previsto nelle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Linee di indirizzo per il contrasto alla grave emarginazione in Italia, approvate dalla Conferenza Unificata del 5.11.2015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l'articolo 5 del decreto annuale sul Fondo per la povertà 2018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611ED" w14:textId="77777777" w:rsidR="003E72E8" w:rsidRPr="00B03310" w:rsidRDefault="003E72E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A8FF6" w14:textId="77777777" w:rsidR="003E72E8" w:rsidRPr="00B03310" w:rsidRDefault="003E72E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18232" w14:textId="77777777" w:rsidR="003E72E8" w:rsidRPr="00B03310" w:rsidRDefault="003E72E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C89FD" w14:textId="77777777" w:rsidR="003E72E8" w:rsidRPr="00A66138" w:rsidRDefault="003E72E8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66FDF" w14:textId="77777777" w:rsidR="003E72E8" w:rsidRPr="001969E1" w:rsidRDefault="003E72E8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23358" w14:textId="77777777" w:rsidR="00742246" w:rsidRDefault="00742246" w:rsidP="0074224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43B783" w14:textId="77777777" w:rsidR="003E72E8" w:rsidRDefault="00742246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Linee di indirizzo per il contrasto alla grave emarginazione in Italia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0D2793C4" w14:textId="77777777" w:rsidR="00C91513" w:rsidRDefault="00C9151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9E3002F" w14:textId="16192F60" w:rsidR="00742246" w:rsidRDefault="00C9151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742246"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ecreto annuale sul Fondo per la povertà 2018</w:t>
            </w:r>
            <w:r w:rsid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7EEAA5C" w14:textId="048AC79F" w:rsidR="00742246" w:rsidRPr="00D64740" w:rsidRDefault="00742246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proofErr w:type="spellStart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5A0A5812" w14:textId="77777777" w:rsidR="003E72E8" w:rsidRPr="00B03310" w:rsidRDefault="003E72E8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B6BC9A7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1B748529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600073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relativa al progetto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è stata acquisita ed è conservata in fascicoli cartacei o informatici presso l’Ufficio competente,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76A68" w14:textId="383C0C2D" w:rsidR="00DD5911" w:rsidRPr="00065E7B" w:rsidRDefault="00DD5911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F0C9C3B" w14:textId="77777777" w:rsidTr="00CD5338">
        <w:trPr>
          <w:trHeight w:val="454"/>
        </w:trPr>
        <w:tc>
          <w:tcPr>
            <w:tcW w:w="14459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D64740" w:rsidRPr="00222491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A2862B" w14:textId="77777777" w:rsidTr="00CB1FA4">
        <w:trPr>
          <w:trHeight w:val="1550"/>
        </w:trPr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10150C21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399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75EC89C" w14:textId="77777777" w:rsidTr="00CB1FA4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308CDFB1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pubblicazione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B10FD39" w14:textId="77777777" w:rsidTr="00CB1FA4">
        <w:trPr>
          <w:trHeight w:val="1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5059F3B3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  <w:r w:rsid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9F2A2FE" w14:textId="77777777" w:rsidTr="007E2E9E">
        <w:trPr>
          <w:trHeight w:val="3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27BEE1FA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78998329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ReGiS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assenza di conflitto di interessi dei soggetti che a vario titolo hanno preso parte al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E2673"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D500673" w14:textId="77777777" w:rsidTr="007E2E9E">
        <w:trPr>
          <w:trHeight w:val="2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737427A2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D337E2" w:rsidRDefault="00D337E2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 w:rsidR="00D337E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sono state acquisite e caricate in ReGiS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D64740" w:rsidRPr="00065E7B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6A1301" w14:textId="77777777" w:rsidTr="007E2E9E">
        <w:trPr>
          <w:trHeight w:val="2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7FC558F8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E02355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00A325" w14:textId="1A42B477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caricata sul sistema ReGiS</w:t>
            </w:r>
          </w:p>
        </w:tc>
        <w:tc>
          <w:tcPr>
            <w:tcW w:w="161" w:type="dxa"/>
            <w:vAlign w:val="center"/>
          </w:tcPr>
          <w:p w14:paraId="357FA858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54CEBC4" w14:textId="77777777" w:rsidTr="00CB1FA4">
        <w:trPr>
          <w:trHeight w:val="3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1835C96E" w:rsidR="00D64740" w:rsidRDefault="0039144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D64740" w:rsidRPr="00236FF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D64740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0E2673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applicabili al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E06CC2D" w14:textId="586CFC04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A22D6CA" w14:textId="77777777" w:rsidTr="00CD5338">
        <w:trPr>
          <w:gridAfter w:val="1"/>
          <w:wAfter w:w="161" w:type="dxa"/>
          <w:trHeight w:val="69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D64740" w:rsidRPr="00B03310" w14:paraId="701F2C59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64740" w:rsidRPr="00B03310" w14:paraId="78E06787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64740" w:rsidRPr="00B03310" w14:paraId="46782F1C" w14:textId="77777777" w:rsidTr="00CD5338">
        <w:trPr>
          <w:gridAfter w:val="1"/>
          <w:wAfter w:w="161" w:type="dxa"/>
          <w:trHeight w:val="370"/>
        </w:trPr>
        <w:tc>
          <w:tcPr>
            <w:tcW w:w="12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1702942E" w14:textId="77777777" w:rsidTr="00CD5338">
        <w:trPr>
          <w:gridAfter w:val="1"/>
          <w:wAfter w:w="161" w:type="dxa"/>
          <w:trHeight w:val="370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64740" w:rsidRPr="00B03310" w14:paraId="3FC71B32" w14:textId="77777777" w:rsidTr="00CD5338">
        <w:trPr>
          <w:gridAfter w:val="1"/>
          <w:wAfter w:w="161" w:type="dxa"/>
          <w:trHeight w:val="2098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0A2563BA" w14:textId="77777777" w:rsidTr="00CB1FA4">
        <w:trPr>
          <w:gridAfter w:val="1"/>
          <w:wAfter w:w="161" w:type="dxa"/>
          <w:trHeight w:val="3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B5513F2" w14:textId="77777777" w:rsidTr="00CD5338">
        <w:trPr>
          <w:gridAfter w:val="1"/>
          <w:wAfter w:w="161" w:type="dxa"/>
          <w:trHeight w:val="37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64740" w:rsidRPr="00B03310" w14:paraId="0B300EB0" w14:textId="77777777" w:rsidTr="00CD5338">
        <w:trPr>
          <w:gridAfter w:val="1"/>
          <w:wAfter w:w="161" w:type="dxa"/>
          <w:trHeight w:val="3337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478DCF24" w14:textId="77777777" w:rsidTr="00CB1FA4">
        <w:trPr>
          <w:gridAfter w:val="1"/>
          <w:wAfter w:w="161" w:type="dxa"/>
          <w:trHeight w:val="3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D6474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D337E2" w:rsidRPr="00B03310" w:rsidRDefault="00D337E2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760D6BB6" w14:textId="77777777" w:rsidTr="00CD5338">
        <w:trPr>
          <w:gridAfter w:val="1"/>
          <w:wAfter w:w="161" w:type="dxa"/>
          <w:trHeight w:val="680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1C89565B" w14:textId="77777777" w:rsidTr="00CD5338">
        <w:trPr>
          <w:gridAfter w:val="1"/>
          <w:wAfter w:w="161" w:type="dxa"/>
          <w:trHeight w:val="1077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2D62381A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D64740" w:rsidRPr="00B03310" w:rsidRDefault="00D64740" w:rsidP="00D337E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5DD03B3" w14:textId="77777777" w:rsidTr="00CB1FA4">
        <w:trPr>
          <w:gridAfter w:val="1"/>
          <w:wAfter w:w="161" w:type="dxa"/>
          <w:trHeight w:val="12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08CD1" w14:textId="77777777" w:rsidR="005066F8" w:rsidRDefault="005066F8" w:rsidP="00482081">
      <w:pPr>
        <w:spacing w:after="0" w:line="240" w:lineRule="auto"/>
      </w:pPr>
      <w:r>
        <w:separator/>
      </w:r>
    </w:p>
  </w:endnote>
  <w:endnote w:type="continuationSeparator" w:id="0">
    <w:p w14:paraId="38FA9BE1" w14:textId="77777777" w:rsidR="005066F8" w:rsidRDefault="005066F8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AFE9" w14:textId="77777777" w:rsidR="005066F8" w:rsidRDefault="005066F8" w:rsidP="00482081">
      <w:pPr>
        <w:spacing w:after="0" w:line="240" w:lineRule="auto"/>
      </w:pPr>
      <w:r>
        <w:separator/>
      </w:r>
    </w:p>
  </w:footnote>
  <w:footnote w:type="continuationSeparator" w:id="0">
    <w:p w14:paraId="31BFD60A" w14:textId="77777777" w:rsidR="005066F8" w:rsidRDefault="005066F8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19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29"/>
  </w:num>
  <w:num w:numId="6" w16cid:durableId="519010792">
    <w:abstractNumId w:val="27"/>
  </w:num>
  <w:num w:numId="7" w16cid:durableId="686760442">
    <w:abstractNumId w:val="14"/>
  </w:num>
  <w:num w:numId="8" w16cid:durableId="659189994">
    <w:abstractNumId w:val="25"/>
  </w:num>
  <w:num w:numId="9" w16cid:durableId="63531205">
    <w:abstractNumId w:val="4"/>
  </w:num>
  <w:num w:numId="10" w16cid:durableId="2115513435">
    <w:abstractNumId w:val="32"/>
  </w:num>
  <w:num w:numId="11" w16cid:durableId="1228882479">
    <w:abstractNumId w:val="38"/>
  </w:num>
  <w:num w:numId="12" w16cid:durableId="1507793010">
    <w:abstractNumId w:val="35"/>
  </w:num>
  <w:num w:numId="13" w16cid:durableId="635918799">
    <w:abstractNumId w:val="24"/>
  </w:num>
  <w:num w:numId="14" w16cid:durableId="571932964">
    <w:abstractNumId w:val="21"/>
  </w:num>
  <w:num w:numId="15" w16cid:durableId="233514468">
    <w:abstractNumId w:val="3"/>
  </w:num>
  <w:num w:numId="16" w16cid:durableId="1113940811">
    <w:abstractNumId w:val="30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4"/>
  </w:num>
  <w:num w:numId="20" w16cid:durableId="1639725741">
    <w:abstractNumId w:val="23"/>
  </w:num>
  <w:num w:numId="21" w16cid:durableId="760488988">
    <w:abstractNumId w:val="36"/>
  </w:num>
  <w:num w:numId="22" w16cid:durableId="489715771">
    <w:abstractNumId w:val="17"/>
  </w:num>
  <w:num w:numId="23" w16cid:durableId="1655061331">
    <w:abstractNumId w:val="20"/>
  </w:num>
  <w:num w:numId="24" w16cid:durableId="190579509">
    <w:abstractNumId w:val="40"/>
  </w:num>
  <w:num w:numId="25" w16cid:durableId="49039191">
    <w:abstractNumId w:val="26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1"/>
  </w:num>
  <w:num w:numId="29" w16cid:durableId="345598631">
    <w:abstractNumId w:val="37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39"/>
  </w:num>
  <w:num w:numId="35" w16cid:durableId="1730496607">
    <w:abstractNumId w:val="22"/>
  </w:num>
  <w:num w:numId="36" w16cid:durableId="1970629992">
    <w:abstractNumId w:val="5"/>
  </w:num>
  <w:num w:numId="37" w16cid:durableId="1937907233">
    <w:abstractNumId w:val="28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3"/>
  </w:num>
  <w:num w:numId="41" w16cid:durableId="1244947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07FB7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56285"/>
    <w:rsid w:val="00162DC5"/>
    <w:rsid w:val="00175582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87604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5AC4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1448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2E8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793"/>
    <w:rsid w:val="004F0EE4"/>
    <w:rsid w:val="004F45C9"/>
    <w:rsid w:val="004F46F5"/>
    <w:rsid w:val="005066F8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2246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2E9E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568DB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666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5D8A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0C9F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5470D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1CC4"/>
    <w:rsid w:val="00C634C7"/>
    <w:rsid w:val="00C64232"/>
    <w:rsid w:val="00C656BA"/>
    <w:rsid w:val="00C66520"/>
    <w:rsid w:val="00C70316"/>
    <w:rsid w:val="00C7132E"/>
    <w:rsid w:val="00C77FCD"/>
    <w:rsid w:val="00C82B5F"/>
    <w:rsid w:val="00C91513"/>
    <w:rsid w:val="00C916CF"/>
    <w:rsid w:val="00C93AD4"/>
    <w:rsid w:val="00C93F2D"/>
    <w:rsid w:val="00C9712E"/>
    <w:rsid w:val="00CA31AA"/>
    <w:rsid w:val="00CA7003"/>
    <w:rsid w:val="00CB1354"/>
    <w:rsid w:val="00CB1FA4"/>
    <w:rsid w:val="00CB64B8"/>
    <w:rsid w:val="00CB716E"/>
    <w:rsid w:val="00CC06E6"/>
    <w:rsid w:val="00CC3EE9"/>
    <w:rsid w:val="00CD3D98"/>
    <w:rsid w:val="00CD409A"/>
    <w:rsid w:val="00CD5338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4C6D"/>
    <w:rsid w:val="00D652F7"/>
    <w:rsid w:val="00D6740E"/>
    <w:rsid w:val="00D678FD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209A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6FD6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987</Words>
  <Characters>5627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2024-11-26T16:22:00Z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